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50784" w14:textId="77777777" w:rsidR="00A05F30" w:rsidRDefault="003E3613" w:rsidP="00A05F30">
      <w:pPr>
        <w:pStyle w:val="1"/>
      </w:pPr>
      <w:bookmarkStart w:id="0" w:name="_GoBack"/>
      <w:bookmarkEnd w:id="0"/>
      <w:r w:rsidRPr="00A05F30">
        <w:t xml:space="preserve">Перечень необходимых сведений для проведения экспертизы видов деятельности (работ, услуг) с целью получения санитарно-эпидемиологического заключения </w:t>
      </w:r>
    </w:p>
    <w:p w14:paraId="621DEB53" w14:textId="77777777" w:rsidR="00A05F30" w:rsidRDefault="00A05F30" w:rsidP="00A05F30">
      <w:pPr>
        <w:pStyle w:val="1"/>
      </w:pPr>
    </w:p>
    <w:p w14:paraId="70470BA6" w14:textId="55E81C6B" w:rsidR="00DC37E5" w:rsidRPr="005A3A0D" w:rsidRDefault="00842797" w:rsidP="00A05F30">
      <w:pPr>
        <w:pStyle w:val="1"/>
        <w:rPr>
          <w:u w:val="single"/>
        </w:rPr>
      </w:pPr>
      <w:r>
        <w:rPr>
          <w:u w:val="single"/>
        </w:rPr>
        <w:t>Медицинская деятельность</w:t>
      </w:r>
    </w:p>
    <w:p w14:paraId="486C0965" w14:textId="77777777" w:rsidR="00A05F30" w:rsidRPr="00B67C60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7096C7D4" w14:textId="01A03C7B" w:rsidR="00DC37E5" w:rsidRDefault="00A05F30" w:rsidP="00DC37E5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  <w:r>
        <w:rPr>
          <w:rFonts w:ascii="OpenSans" w:eastAsia="Times New Roman" w:hAnsi="OpenSans" w:cs="Times New Roman"/>
          <w:b/>
          <w:bCs/>
          <w:szCs w:val="24"/>
          <w:lang w:eastAsia="ru-RU"/>
        </w:rPr>
        <w:t>С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ведения из документов</w:t>
      </w:r>
      <w:r w:rsidR="00DC37E5">
        <w:rPr>
          <w:rFonts w:ascii="OpenSans" w:eastAsia="Times New Roman" w:hAnsi="OpenSans" w:cs="Times New Roman"/>
          <w:b/>
          <w:bCs/>
          <w:szCs w:val="24"/>
          <w:lang w:eastAsia="ru-RU"/>
        </w:rPr>
        <w:t xml:space="preserve"> (копии)</w:t>
      </w:r>
      <w:r w:rsidR="00DC37E5" w:rsidRPr="00B67C60">
        <w:rPr>
          <w:rFonts w:ascii="OpenSans" w:eastAsia="Times New Roman" w:hAnsi="OpenSans" w:cs="Times New Roman"/>
          <w:b/>
          <w:bCs/>
          <w:szCs w:val="24"/>
          <w:lang w:eastAsia="ru-RU"/>
        </w:rPr>
        <w:t>:</w:t>
      </w:r>
    </w:p>
    <w:p w14:paraId="637CF8D7" w14:textId="77777777" w:rsidR="00DC37E5" w:rsidRPr="00B67C60" w:rsidRDefault="00DC37E5" w:rsidP="00DC37E5">
      <w:pPr>
        <w:shd w:val="clear" w:color="auto" w:fill="FFFFFF"/>
        <w:jc w:val="center"/>
        <w:rPr>
          <w:rFonts w:ascii="OpenSans" w:eastAsia="Times New Roman" w:hAnsi="OpenSans" w:cs="Times New Roman"/>
          <w:szCs w:val="24"/>
          <w:lang w:eastAsia="ru-RU"/>
        </w:rPr>
      </w:pPr>
    </w:p>
    <w:p w14:paraId="145C8736" w14:textId="77777777" w:rsidR="00842797" w:rsidRPr="00856F94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856F94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Свидетельства о внесении записи в единый государственный реестр юридических лиц (ИП).</w:t>
      </w:r>
    </w:p>
    <w:p w14:paraId="3CBBE1C8" w14:textId="77777777" w:rsidR="00842797" w:rsidRPr="00856F94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856F94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Свидетельства о постановке на учет юридического лица (ИП) в налоговом органе.</w:t>
      </w:r>
    </w:p>
    <w:p w14:paraId="0ED19438" w14:textId="77777777" w:rsidR="00842797" w:rsidRPr="00856F94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856F94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Свидетельства о государственной регистрации юридического лица (ИП).</w:t>
      </w:r>
    </w:p>
    <w:p w14:paraId="192FE4AA" w14:textId="77777777" w:rsidR="00842797" w:rsidRPr="00856F94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856F94">
        <w:rPr>
          <w:rFonts w:ascii="OpenSans" w:eastAsia="Times New Roman" w:hAnsi="OpenSans" w:cs="Times New Roman"/>
          <w:color w:val="000000"/>
          <w:szCs w:val="24"/>
          <w:lang w:eastAsia="ru-RU"/>
        </w:rPr>
        <w:t>Выписки из ЕГРЮЛ (ЕГРИП)</w:t>
      </w:r>
    </w:p>
    <w:p w14:paraId="5D6409B3" w14:textId="77777777" w:rsidR="00842797" w:rsidRPr="00856F94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856F94">
        <w:rPr>
          <w:rFonts w:ascii="OpenSans" w:eastAsia="Times New Roman" w:hAnsi="OpenSans" w:cs="Times New Roman"/>
          <w:color w:val="000000"/>
          <w:szCs w:val="24"/>
          <w:lang w:eastAsia="ru-RU"/>
        </w:rPr>
        <w:t>Свидетельства о государственной регистрации права собственности на помещение и договор аренды на временное владение и использование помещения для осуществления медицинской деятельности. Указывать номер помещения (согласно свидетельству регистрации права на помещение) по фактическому адресу деятельности.</w:t>
      </w:r>
    </w:p>
    <w:p w14:paraId="61D4FDDA" w14:textId="77777777" w:rsidR="00842797" w:rsidRPr="00856F94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856F94">
        <w:rPr>
          <w:rFonts w:ascii="OpenSans" w:eastAsia="Times New Roman" w:hAnsi="OpenSans" w:cs="Times New Roman"/>
          <w:color w:val="000000"/>
          <w:szCs w:val="24"/>
          <w:lang w:eastAsia="ru-RU"/>
        </w:rPr>
        <w:t>Устава ЮЛ.</w:t>
      </w:r>
    </w:p>
    <w:p w14:paraId="431B8EA1" w14:textId="77777777" w:rsidR="00842797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Перечн</w:t>
      </w:r>
      <w:r>
        <w:rPr>
          <w:rFonts w:eastAsia="Times New Roman" w:cs="Times New Roman"/>
          <w:color w:val="000000"/>
          <w:szCs w:val="24"/>
          <w:lang w:eastAsia="ru-RU"/>
        </w:rPr>
        <w:t>я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заявленных работ и услуг. Объём проводимых услуг по заявленным видам деятельности.</w:t>
      </w:r>
    </w:p>
    <w:p w14:paraId="133B88B0" w14:textId="77777777" w:rsidR="00842797" w:rsidRPr="008204B8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Количество посещений в смену.</w:t>
      </w:r>
    </w:p>
    <w:p w14:paraId="6DF78560" w14:textId="77777777" w:rsidR="00842797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Техническ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ого 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паспорт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(план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) с </w:t>
      </w:r>
      <w:proofErr w:type="spellStart"/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выкопировкой</w:t>
      </w:r>
      <w:proofErr w:type="spellEnd"/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и экспликацией помещений.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</w:t>
      </w:r>
    </w:p>
    <w:p w14:paraId="4BC4B1FB" w14:textId="77777777" w:rsidR="00842797" w:rsidRPr="002D272D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2D272D">
        <w:rPr>
          <w:rFonts w:ascii="OpenSans" w:eastAsia="Times New Roman" w:hAnsi="OpenSans" w:cs="Times New Roman"/>
          <w:color w:val="000000"/>
          <w:szCs w:val="24"/>
          <w:lang w:eastAsia="ru-RU"/>
        </w:rPr>
        <w:t>Документ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ов</w:t>
      </w:r>
      <w:r w:rsidRPr="002D27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подтверждающие соответствие зданий, строений, сооружений, помещений, оборудования и иного имущества требованиям санитарного законодательства (Протоколы измерений шума, искусственной освещенности, коэффициента пульсации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, воды питьевой</w:t>
      </w:r>
      <w:r w:rsidRPr="002D272D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. Срок действия представляемых документов не более года до момента подачи заявления. </w:t>
      </w:r>
    </w:p>
    <w:p w14:paraId="53ECB8A2" w14:textId="77777777" w:rsidR="00842797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>Программ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ы</w:t>
      </w: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производственного контроля за соблюдением санитарно-эпидемиологических требований и проведением санитарно-противоэпидемических (профилактических) мероприятий. </w:t>
      </w:r>
    </w:p>
    <w:p w14:paraId="3B73FF82" w14:textId="77777777" w:rsidR="00842797" w:rsidRPr="002C59EE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>Санитарно-эпидемиологическо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го</w:t>
      </w: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заключени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я</w:t>
      </w:r>
      <w:r w:rsidRPr="002C59EE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медицинскую деятельность (ранее полученное).</w:t>
      </w:r>
    </w:p>
    <w:p w14:paraId="6C1E0434" w14:textId="67E5274B" w:rsidR="00842797" w:rsidRPr="008204B8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Для действующих медицинских организаций – копия выписки</w:t>
      </w:r>
      <w:r w:rsidR="00D60090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из реестра лицензий на медицинскую деятельность.</w:t>
      </w:r>
    </w:p>
    <w:p w14:paraId="569420E5" w14:textId="77777777" w:rsidR="00842797" w:rsidRPr="008204B8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Санитарно-эпидемиологическо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го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заключени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я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работу с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источниками 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ионизирующ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его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излучени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я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(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рентгеновские установки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,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в том числе дентальные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).</w:t>
      </w:r>
    </w:p>
    <w:p w14:paraId="0BBEE183" w14:textId="77777777" w:rsidR="00842797" w:rsidRPr="008204B8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Договор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оказание услуг по стирке белья.</w:t>
      </w:r>
    </w:p>
    <w:p w14:paraId="34DE1CC8" w14:textId="77777777" w:rsidR="00842797" w:rsidRPr="008204B8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Схем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ы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сбора, хранения, удаления отходов. Приказ о назначении ответственного лица за сбор, хранение и удаление отходов.</w:t>
      </w:r>
    </w:p>
    <w:p w14:paraId="4802F55B" w14:textId="77777777" w:rsidR="00842797" w:rsidRPr="008204B8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Договор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утилизацию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медицинских отходов 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класса А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(в том числе ТКО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).</w:t>
      </w:r>
    </w:p>
    <w:p w14:paraId="348B6F96" w14:textId="77777777" w:rsidR="00842797" w:rsidRPr="008204B8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Договор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утилизацию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медицинских 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отходов класса Г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(в том числе отходы от эксплуатации, лекарственные, диагностические средства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).</w:t>
      </w:r>
    </w:p>
    <w:p w14:paraId="6444AAED" w14:textId="77777777" w:rsidR="00842797" w:rsidRPr="008204B8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Договор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планово-регулярный сбор и утилизацию 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медицинских 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отходов класса Б.</w:t>
      </w:r>
    </w:p>
    <w:p w14:paraId="395E3358" w14:textId="77777777" w:rsidR="00842797" w:rsidRPr="008204B8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Договор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а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на проведение дератизационных, дезинфекционных и дезинсекционных работ.</w:t>
      </w:r>
    </w:p>
    <w:p w14:paraId="6DE48A5D" w14:textId="77777777" w:rsidR="00842797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>Перечн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>я</w:t>
      </w:r>
      <w:r w:rsidRPr="008204B8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материально-технического оснащения</w:t>
      </w:r>
      <w:r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 по заявленным видам деятельности. </w:t>
      </w:r>
    </w:p>
    <w:p w14:paraId="739CF1FE" w14:textId="77777777" w:rsidR="00842797" w:rsidRPr="00E768E6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E768E6">
        <w:rPr>
          <w:rFonts w:ascii="OpenSans" w:eastAsia="Times New Roman" w:hAnsi="OpenSans" w:cs="Times New Roman"/>
          <w:color w:val="000000"/>
          <w:szCs w:val="24"/>
          <w:lang w:eastAsia="ru-RU"/>
        </w:rPr>
        <w:t xml:space="preserve">Паспорта на вентиляционные установки (систему). Протоколы испытаний приточно-вытяжной вентиляции. </w:t>
      </w:r>
      <w:r w:rsidRPr="00E768E6">
        <w:rPr>
          <w:rFonts w:ascii="OpenSans" w:eastAsia="Times New Roman" w:hAnsi="OpenSans" w:cs="Times New Roman"/>
          <w:szCs w:val="24"/>
          <w:lang w:eastAsia="ru-RU"/>
        </w:rPr>
        <w:t>Акты обследования технического состояния систем вентиляции.</w:t>
      </w:r>
    </w:p>
    <w:p w14:paraId="66FC7FCD" w14:textId="77777777" w:rsidR="00842797" w:rsidRPr="00E768E6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E768E6">
        <w:rPr>
          <w:rFonts w:cs="Times New Roman"/>
          <w:szCs w:val="24"/>
        </w:rPr>
        <w:t>Для медицинских организаций</w:t>
      </w:r>
      <w:r>
        <w:rPr>
          <w:rFonts w:cs="Times New Roman"/>
          <w:szCs w:val="24"/>
        </w:rPr>
        <w:t>,</w:t>
      </w:r>
      <w:r w:rsidRPr="00E768E6">
        <w:rPr>
          <w:rFonts w:cs="Times New Roman"/>
          <w:szCs w:val="24"/>
        </w:rPr>
        <w:t xml:space="preserve"> расположенных в жилом доме документы, подтверждающие автономность вентиляции от жилого дома.</w:t>
      </w:r>
    </w:p>
    <w:p w14:paraId="7FBFD647" w14:textId="77777777" w:rsidR="00842797" w:rsidRPr="00582A92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>
        <w:rPr>
          <w:rFonts w:cs="Times New Roman"/>
          <w:szCs w:val="24"/>
        </w:rPr>
        <w:lastRenderedPageBreak/>
        <w:t xml:space="preserve">Штатов </w:t>
      </w:r>
      <w:r w:rsidRPr="00582A92">
        <w:rPr>
          <w:rFonts w:cs="Times New Roman"/>
          <w:szCs w:val="24"/>
        </w:rPr>
        <w:t xml:space="preserve">по заявленным видам деятельности. </w:t>
      </w:r>
    </w:p>
    <w:p w14:paraId="7D8C56D4" w14:textId="77777777" w:rsidR="00842797" w:rsidRPr="00582A92" w:rsidRDefault="00842797" w:rsidP="00842797">
      <w:pPr>
        <w:numPr>
          <w:ilvl w:val="0"/>
          <w:numId w:val="1"/>
        </w:numPr>
        <w:shd w:val="clear" w:color="auto" w:fill="FFFFFF"/>
        <w:ind w:left="0"/>
        <w:rPr>
          <w:rFonts w:ascii="OpenSans" w:eastAsia="Times New Roman" w:hAnsi="OpenSans" w:cs="Times New Roman"/>
          <w:color w:val="000000"/>
          <w:szCs w:val="24"/>
          <w:lang w:eastAsia="ru-RU"/>
        </w:rPr>
      </w:pPr>
      <w:r w:rsidRPr="00582A92">
        <w:rPr>
          <w:rFonts w:cs="Times New Roman"/>
          <w:szCs w:val="24"/>
        </w:rPr>
        <w:t>Иные документы по требованию эксперта, необходимость которых установлена во время проведения санитарно-эпидемиологической экспертизы.</w:t>
      </w:r>
    </w:p>
    <w:p w14:paraId="454BDEE3" w14:textId="77777777" w:rsidR="007E5FAA" w:rsidRDefault="007E5FAA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p w14:paraId="5A8F0FF6" w14:textId="77777777" w:rsidR="00A05F30" w:rsidRDefault="00A05F30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3572"/>
        <w:gridCol w:w="2324"/>
        <w:gridCol w:w="2324"/>
      </w:tblGrid>
      <w:tr w:rsidR="006474E8" w:rsidRPr="00371DDB" w14:paraId="13E18AFE" w14:textId="77777777" w:rsidTr="006474E8">
        <w:trPr>
          <w:trHeight w:val="246"/>
        </w:trPr>
        <w:tc>
          <w:tcPr>
            <w:tcW w:w="706" w:type="pct"/>
            <w:vAlign w:val="center"/>
          </w:tcPr>
          <w:p w14:paraId="6D0A5FFC" w14:textId="56BB0548" w:rsidR="006474E8" w:rsidRPr="00371DDB" w:rsidRDefault="006474E8" w:rsidP="000557DA">
            <w:pPr>
              <w:suppressAutoHyphens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866" w:type="pct"/>
            <w:vAlign w:val="center"/>
          </w:tcPr>
          <w:p w14:paraId="42113AC3" w14:textId="5FC68ACC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Должность</w:t>
            </w:r>
          </w:p>
        </w:tc>
        <w:tc>
          <w:tcPr>
            <w:tcW w:w="1214" w:type="pct"/>
          </w:tcPr>
          <w:p w14:paraId="4F3CD52B" w14:textId="51D9699C" w:rsidR="006474E8" w:rsidRPr="003D2D9B" w:rsidRDefault="006474E8" w:rsidP="000557DA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Подпись</w:t>
            </w:r>
          </w:p>
        </w:tc>
        <w:tc>
          <w:tcPr>
            <w:tcW w:w="1214" w:type="pct"/>
            <w:vAlign w:val="center"/>
          </w:tcPr>
          <w:p w14:paraId="2A081A31" w14:textId="78EDA0C0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Ф. И. О.</w:t>
            </w:r>
          </w:p>
        </w:tc>
      </w:tr>
      <w:tr w:rsidR="006474E8" w:rsidRPr="00371DDB" w14:paraId="462D1B30" w14:textId="77777777" w:rsidTr="006474E8">
        <w:trPr>
          <w:trHeight w:val="246"/>
        </w:trPr>
        <w:tc>
          <w:tcPr>
            <w:tcW w:w="706" w:type="pct"/>
          </w:tcPr>
          <w:p w14:paraId="4E9DE6CC" w14:textId="2C520A46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Разработал</w:t>
            </w:r>
          </w:p>
        </w:tc>
        <w:tc>
          <w:tcPr>
            <w:tcW w:w="1866" w:type="pct"/>
          </w:tcPr>
          <w:p w14:paraId="1AAC069D" w14:textId="34C46202" w:rsidR="006474E8" w:rsidRPr="00371DDB" w:rsidRDefault="006474E8" w:rsidP="006474E8">
            <w:pPr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 xml:space="preserve">Заведующий </w:t>
            </w:r>
            <w:r>
              <w:rPr>
                <w:lang w:eastAsia="ru-RU"/>
              </w:rPr>
              <w:t>отделением коммунальной гигиены и гигиены труда</w:t>
            </w:r>
          </w:p>
        </w:tc>
        <w:tc>
          <w:tcPr>
            <w:tcW w:w="1214" w:type="pct"/>
          </w:tcPr>
          <w:p w14:paraId="59DC75D0" w14:textId="77777777" w:rsidR="006474E8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54867B18" w14:textId="6BCAB05B" w:rsidR="006474E8" w:rsidRPr="00371DDB" w:rsidRDefault="006474E8" w:rsidP="000557DA">
            <w:pPr>
              <w:suppressAutoHyphens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lang w:eastAsia="ru-RU"/>
              </w:rPr>
              <w:t>Богданов Ю.А.</w:t>
            </w:r>
          </w:p>
        </w:tc>
      </w:tr>
      <w:tr w:rsidR="006474E8" w:rsidRPr="00371DDB" w14:paraId="41A5BB28" w14:textId="77777777" w:rsidTr="006474E8">
        <w:trPr>
          <w:trHeight w:val="246"/>
        </w:trPr>
        <w:tc>
          <w:tcPr>
            <w:tcW w:w="706" w:type="pct"/>
          </w:tcPr>
          <w:p w14:paraId="4B78E79D" w14:textId="2A551219" w:rsidR="006474E8" w:rsidRPr="00371DDB" w:rsidRDefault="006474E8" w:rsidP="000557DA">
            <w:pPr>
              <w:suppressAutoHyphens/>
              <w:rPr>
                <w:rFonts w:eastAsia="Times New Roman"/>
                <w:i/>
                <w:szCs w:val="24"/>
                <w:lang w:eastAsia="ru-RU"/>
              </w:rPr>
            </w:pPr>
            <w:r w:rsidRPr="003D2D9B">
              <w:rPr>
                <w:lang w:eastAsia="ru-RU"/>
              </w:rPr>
              <w:t>Проверил</w:t>
            </w:r>
          </w:p>
        </w:tc>
        <w:tc>
          <w:tcPr>
            <w:tcW w:w="1866" w:type="pct"/>
          </w:tcPr>
          <w:p w14:paraId="785A5071" w14:textId="5AA242F6" w:rsidR="006474E8" w:rsidRPr="000557DA" w:rsidRDefault="006474E8" w:rsidP="000557DA">
            <w:pPr>
              <w:suppressAutoHyphens/>
              <w:rPr>
                <w:lang w:eastAsia="ru-RU"/>
              </w:rPr>
            </w:pPr>
            <w:r w:rsidRPr="000557DA">
              <w:rPr>
                <w:lang w:eastAsia="ru-RU"/>
              </w:rPr>
              <w:t>Технический директор ОИ, заведующий санитарно-гигиеническим отделом</w:t>
            </w:r>
          </w:p>
        </w:tc>
        <w:tc>
          <w:tcPr>
            <w:tcW w:w="1214" w:type="pct"/>
          </w:tcPr>
          <w:p w14:paraId="20A6D431" w14:textId="77777777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214" w:type="pct"/>
          </w:tcPr>
          <w:p w14:paraId="3BCCFA29" w14:textId="79A095FC" w:rsidR="006474E8" w:rsidRPr="000557DA" w:rsidRDefault="006474E8" w:rsidP="000557DA">
            <w:pPr>
              <w:suppressAutoHyphens/>
              <w:jc w:val="center"/>
              <w:rPr>
                <w:lang w:eastAsia="ru-RU"/>
              </w:rPr>
            </w:pPr>
            <w:r w:rsidRPr="000557DA">
              <w:rPr>
                <w:lang w:eastAsia="ru-RU"/>
              </w:rPr>
              <w:t>Вшивцев В.А.</w:t>
            </w:r>
          </w:p>
        </w:tc>
      </w:tr>
    </w:tbl>
    <w:p w14:paraId="299A1BEC" w14:textId="77777777" w:rsidR="00A05F30" w:rsidRDefault="00A05F30" w:rsidP="007E5FAA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szCs w:val="24"/>
          <w:lang w:eastAsia="ru-RU"/>
        </w:rPr>
      </w:pPr>
    </w:p>
    <w:sectPr w:rsidR="00A05F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E5C95" w14:textId="77777777" w:rsidR="00A05F30" w:rsidRDefault="00A05F30" w:rsidP="00A05F30">
      <w:r>
        <w:separator/>
      </w:r>
    </w:p>
  </w:endnote>
  <w:endnote w:type="continuationSeparator" w:id="0">
    <w:p w14:paraId="68A6358C" w14:textId="77777777" w:rsidR="00A05F30" w:rsidRDefault="00A05F30" w:rsidP="00A0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BCE54" w14:textId="77777777" w:rsidR="00A05F30" w:rsidRDefault="00A05F30" w:rsidP="00A05F30">
      <w:r>
        <w:separator/>
      </w:r>
    </w:p>
  </w:footnote>
  <w:footnote w:type="continuationSeparator" w:id="0">
    <w:p w14:paraId="03E14262" w14:textId="77777777" w:rsidR="00A05F30" w:rsidRDefault="00A05F30" w:rsidP="00A0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69"/>
      <w:gridCol w:w="3936"/>
      <w:gridCol w:w="2266"/>
    </w:tblGrid>
    <w:tr w:rsidR="008433B3" w:rsidRPr="008B40FA" w14:paraId="32F1A4AD" w14:textId="77777777" w:rsidTr="001658FA">
      <w:trPr>
        <w:trHeight w:val="190"/>
      </w:trPr>
      <w:tc>
        <w:tcPr>
          <w:tcW w:w="1760" w:type="pct"/>
          <w:vMerge w:val="restart"/>
          <w:vAlign w:val="center"/>
        </w:tcPr>
        <w:p w14:paraId="49700A74" w14:textId="77777777" w:rsidR="008433B3" w:rsidRPr="008B40FA" w:rsidRDefault="008433B3" w:rsidP="008433B3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>ФБУЗ «Центр гигиены и эпидемиологии в Кировской области</w:t>
          </w:r>
        </w:p>
      </w:tc>
      <w:tc>
        <w:tcPr>
          <w:tcW w:w="2056" w:type="pct"/>
          <w:vAlign w:val="center"/>
        </w:tcPr>
        <w:p w14:paraId="6A4DE805" w14:textId="6149EF9F" w:rsidR="008433B3" w:rsidRPr="008B40FA" w:rsidRDefault="008433B3" w:rsidP="002C35BF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Ф 0</w:t>
          </w:r>
          <w:r w:rsidR="002C35BF">
            <w:rPr>
              <w:rFonts w:cs="Times New Roman"/>
              <w:sz w:val="16"/>
              <w:szCs w:val="16"/>
            </w:rPr>
            <w:t>1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001B4F48">
            <w:rPr>
              <w:rFonts w:cs="Times New Roman"/>
              <w:sz w:val="16"/>
              <w:szCs w:val="16"/>
            </w:rPr>
            <w:t>ДП 02-11-06-2024</w:t>
          </w:r>
        </w:p>
      </w:tc>
      <w:tc>
        <w:tcPr>
          <w:tcW w:w="1184" w:type="pct"/>
          <w:vMerge w:val="restart"/>
          <w:vAlign w:val="center"/>
        </w:tcPr>
        <w:p w14:paraId="49CAE687" w14:textId="77777777" w:rsidR="008433B3" w:rsidRDefault="008433B3" w:rsidP="008433B3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 w:rsidRPr="008B40FA">
            <w:rPr>
              <w:rFonts w:cs="Times New Roman"/>
              <w:spacing w:val="20"/>
              <w:sz w:val="16"/>
              <w:szCs w:val="16"/>
            </w:rPr>
            <w:t xml:space="preserve">Лист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PAGE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2C35BF">
            <w:rPr>
              <w:rFonts w:cs="Times New Roman"/>
              <w:noProof/>
              <w:spacing w:val="20"/>
              <w:sz w:val="16"/>
              <w:szCs w:val="16"/>
            </w:rPr>
            <w:t>2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  <w:r w:rsidRPr="008B40FA">
            <w:rPr>
              <w:rFonts w:cs="Times New Roman"/>
              <w:spacing w:val="20"/>
              <w:sz w:val="16"/>
              <w:szCs w:val="16"/>
            </w:rPr>
            <w:t xml:space="preserve"> из 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begin"/>
          </w:r>
          <w:r w:rsidRPr="008B40FA">
            <w:rPr>
              <w:rFonts w:cs="Times New Roman"/>
              <w:spacing w:val="20"/>
              <w:sz w:val="16"/>
              <w:szCs w:val="16"/>
            </w:rPr>
            <w:instrText xml:space="preserve"> NUMPAGES  </w:instrTex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separate"/>
          </w:r>
          <w:r w:rsidR="002C35BF">
            <w:rPr>
              <w:rFonts w:cs="Times New Roman"/>
              <w:noProof/>
              <w:spacing w:val="20"/>
              <w:sz w:val="16"/>
              <w:szCs w:val="16"/>
            </w:rPr>
            <w:t>2</w:t>
          </w:r>
          <w:r w:rsidRPr="008B40FA">
            <w:rPr>
              <w:rFonts w:cs="Times New Roman"/>
              <w:spacing w:val="20"/>
              <w:sz w:val="16"/>
              <w:szCs w:val="16"/>
            </w:rPr>
            <w:fldChar w:fldCharType="end"/>
          </w:r>
        </w:p>
        <w:p w14:paraId="07FA934D" w14:textId="33B29976" w:rsidR="008433B3" w:rsidRPr="008B40FA" w:rsidRDefault="008433B3" w:rsidP="002C35BF">
          <w:pPr>
            <w:ind w:right="62"/>
            <w:rPr>
              <w:rFonts w:cs="Times New Roman"/>
              <w:spacing w:val="20"/>
              <w:sz w:val="16"/>
              <w:szCs w:val="16"/>
            </w:rPr>
          </w:pPr>
          <w:r>
            <w:rPr>
              <w:rFonts w:cs="Times New Roman"/>
              <w:spacing w:val="20"/>
              <w:sz w:val="16"/>
              <w:szCs w:val="16"/>
            </w:rPr>
            <w:t xml:space="preserve">Дата введения – </w:t>
          </w:r>
          <w:r w:rsidR="002C35BF">
            <w:rPr>
              <w:rFonts w:cs="Times New Roman"/>
              <w:spacing w:val="20"/>
              <w:sz w:val="16"/>
              <w:szCs w:val="16"/>
            </w:rPr>
            <w:t>29.05.2024</w:t>
          </w:r>
        </w:p>
      </w:tc>
    </w:tr>
    <w:tr w:rsidR="008433B3" w:rsidRPr="008B40FA" w14:paraId="14885BC5" w14:textId="77777777" w:rsidTr="001658FA">
      <w:trPr>
        <w:trHeight w:val="270"/>
      </w:trPr>
      <w:tc>
        <w:tcPr>
          <w:tcW w:w="1760" w:type="pct"/>
          <w:vMerge/>
          <w:vAlign w:val="center"/>
        </w:tcPr>
        <w:p w14:paraId="7B47410F" w14:textId="77777777" w:rsidR="008433B3" w:rsidRPr="008B40FA" w:rsidRDefault="008433B3" w:rsidP="008433B3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7797CFD6" w14:textId="77777777" w:rsidR="008433B3" w:rsidRDefault="008433B3" w:rsidP="008433B3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Процедура инспекции</w:t>
          </w:r>
        </w:p>
      </w:tc>
      <w:tc>
        <w:tcPr>
          <w:tcW w:w="1184" w:type="pct"/>
          <w:vMerge/>
          <w:vAlign w:val="center"/>
        </w:tcPr>
        <w:p w14:paraId="160D3A75" w14:textId="77777777" w:rsidR="008433B3" w:rsidRPr="008B40FA" w:rsidRDefault="008433B3" w:rsidP="008433B3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  <w:tr w:rsidR="008433B3" w:rsidRPr="008B40FA" w14:paraId="4376C183" w14:textId="77777777" w:rsidTr="001658FA">
      <w:trPr>
        <w:trHeight w:val="555"/>
      </w:trPr>
      <w:tc>
        <w:tcPr>
          <w:tcW w:w="1760" w:type="pct"/>
          <w:vMerge/>
          <w:vAlign w:val="center"/>
        </w:tcPr>
        <w:p w14:paraId="4E35500F" w14:textId="77777777" w:rsidR="008433B3" w:rsidRPr="008B40FA" w:rsidRDefault="008433B3" w:rsidP="008433B3">
          <w:pPr>
            <w:tabs>
              <w:tab w:val="center" w:pos="2724"/>
            </w:tabs>
            <w:ind w:right="62"/>
            <w:jc w:val="center"/>
            <w:rPr>
              <w:rFonts w:cs="Times New Roman"/>
              <w:spacing w:val="20"/>
              <w:sz w:val="16"/>
              <w:szCs w:val="16"/>
            </w:rPr>
          </w:pPr>
        </w:p>
      </w:tc>
      <w:tc>
        <w:tcPr>
          <w:tcW w:w="2056" w:type="pct"/>
          <w:vAlign w:val="center"/>
        </w:tcPr>
        <w:p w14:paraId="6E4D31D4" w14:textId="77777777" w:rsidR="008433B3" w:rsidRDefault="008433B3" w:rsidP="008433B3">
          <w:pPr>
            <w:ind w:right="62"/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Перечень сведений и документов, необходимых для оценки соответствия</w:t>
          </w:r>
        </w:p>
      </w:tc>
      <w:tc>
        <w:tcPr>
          <w:tcW w:w="1184" w:type="pct"/>
          <w:vMerge/>
          <w:vAlign w:val="center"/>
        </w:tcPr>
        <w:p w14:paraId="227D7ED0" w14:textId="77777777" w:rsidR="008433B3" w:rsidRPr="008B40FA" w:rsidRDefault="008433B3" w:rsidP="008433B3">
          <w:pPr>
            <w:ind w:right="62"/>
            <w:rPr>
              <w:rFonts w:cs="Times New Roman"/>
              <w:spacing w:val="20"/>
              <w:sz w:val="16"/>
              <w:szCs w:val="16"/>
            </w:rPr>
          </w:pPr>
        </w:p>
      </w:tc>
    </w:tr>
  </w:tbl>
  <w:p w14:paraId="4CC8ED7F" w14:textId="77777777" w:rsidR="00A05F30" w:rsidRDefault="00A05F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298"/>
    <w:multiLevelType w:val="multilevel"/>
    <w:tmpl w:val="F9FE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A1E4C"/>
    <w:multiLevelType w:val="multilevel"/>
    <w:tmpl w:val="16AC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A61C4"/>
    <w:multiLevelType w:val="multilevel"/>
    <w:tmpl w:val="36F8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7E0A"/>
    <w:multiLevelType w:val="multilevel"/>
    <w:tmpl w:val="C104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F5FC3"/>
    <w:multiLevelType w:val="multilevel"/>
    <w:tmpl w:val="FAB8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13"/>
    <w:rsid w:val="000557DA"/>
    <w:rsid w:val="001513D0"/>
    <w:rsid w:val="002C35BF"/>
    <w:rsid w:val="003C232B"/>
    <w:rsid w:val="003E3613"/>
    <w:rsid w:val="005A3A0D"/>
    <w:rsid w:val="006474E8"/>
    <w:rsid w:val="007E5FAA"/>
    <w:rsid w:val="00842797"/>
    <w:rsid w:val="008433B3"/>
    <w:rsid w:val="00843C68"/>
    <w:rsid w:val="008C4E7F"/>
    <w:rsid w:val="009018B0"/>
    <w:rsid w:val="00A05F30"/>
    <w:rsid w:val="00D60090"/>
    <w:rsid w:val="00DC37E5"/>
    <w:rsid w:val="00E3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F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F30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3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F3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5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F3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Ульяна Александровна</dc:creator>
  <cp:lastModifiedBy>Пономарева Ульяна Александровна</cp:lastModifiedBy>
  <cp:revision>6</cp:revision>
  <dcterms:created xsi:type="dcterms:W3CDTF">2024-04-04T08:03:00Z</dcterms:created>
  <dcterms:modified xsi:type="dcterms:W3CDTF">2024-06-04T10:21:00Z</dcterms:modified>
</cp:coreProperties>
</file>